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Bdr>
          <w:bottom w:val="single" w:color="D6E3E8" w:sz="7" w:space="10"/>
        </w:pBdr>
        <w:spacing w:after="240"/>
      </w:pPr>
      <w:r>
        <w:rPr>
          <w:rFonts w:ascii="Lato" w:cs="Lato" w:eastAsia="Lato" w:hAnsi="Lato"/>
          <w:b/>
          <w:bCs/>
          <w:color w:val="315E70"/>
          <w:spacing w:val="34"/>
          <w:sz w:val="18"/>
          <w:szCs w:val="18"/>
        </w:rPr>
        <w:t xml:space="preserve">ONLINEVAAZ</w:t>
      </w:r>
    </w:p>
    <w:p>
      <w:pPr>
        <w:keepNext/>
        <w:spacing w:after="150" w:before="250"/>
      </w:pPr>
      <w:r>
        <w:rPr>
          <w:rFonts w:ascii="Lato" w:cs="Lato" w:eastAsia="Lato" w:hAnsi="Lato"/>
          <w:b/>
          <w:bCs/>
          <w:color w:val="172D3B"/>
          <w:sz w:val="38"/>
          <w:szCs w:val="38"/>
        </w:rPr>
        <w:t xml:space="preserve">Toprak Ürünlerinin Öşründe Nisap Var Mıdır?</w:t>
      </w:r>
    </w:p>
    <w:p>
      <w:pPr>
        <w:spacing w:after="380"/>
      </w:pPr>
      <w:r>
        <w:rPr>
          <w:rFonts w:ascii="Lato" w:cs="Lato" w:eastAsia="Lato" w:hAnsi="Lato"/>
          <w:color w:val="788D9A"/>
          <w:sz w:val="19"/>
          <w:szCs w:val="19"/>
        </w:rPr>
        <w:t xml:space="preserve">22 Nisan 2025</w:t>
      </w:r>
    </w:p>
    <w:p>
      <w:pPr>
        <w:keepNext w:val="false"/>
        <w:spacing w:after="180" w:before="0" w:line="365"/>
        <w:jc w:val="left"/>
      </w:pPr>
      <w:r>
        <w:rPr>
          <w:rFonts w:ascii="Lato" w:cs="Lato" w:eastAsia="Lato" w:hAnsi="Lato"/>
          <w:b w:val="false"/>
          <w:bCs w:val="false"/>
          <w:color w:val="293B49"/>
          <w:sz w:val="22"/>
          <w:szCs w:val="22"/>
        </w:rPr>
        <w:t xml:space="preserve">Fukahâ arasında toprak ürünlerinin öşründe nisabın aranıp aranmamasıyla ilgili olarak iki temel görüş bulunmaktadır. Hanefîlerden İmâmeyn ve diğer mezheplerden fakihlerin çoğu, beş “vesk” miktarına ulaşmadıkça öşür gerekmediğini ifade eden hadislere (Buhârî, Zekât, 42 [1459]; Müslim, Zekât, 1-6 [979-980]) dayanarak toprak ürünlerinde nisabı gerekli görmüşlerdir. (Mergînânî, el-Hidâye, 1/107, İbn Cüzey, el-Kavânîn, 72; Şîrâzî, el-Mühezzeb, 1/284; İbn Kudâme, el-Muğnî, 3/5) İmam Ebû Hanîfe gibi fakihler ise bu konudaki âyet ve bazı rivayetlerin umumî oluşunu dikkate alarak toprak ürünlerinin öşründe nisap aranmayacağını söylemişlerdir. (Serahsî, el-Mebsût, 3/2-3; Kâsânî, Bedâ’i, 2/59) Yüce Allah; “Ey İnananlar!</w:t>
      </w:r>
    </w:p>
    <w:p>
      <w:pPr>
        <w:keepNext w:val="false"/>
        <w:spacing w:after="180" w:before="0" w:line="365"/>
        <w:jc w:val="left"/>
      </w:pPr>
      <w:r>
        <w:rPr>
          <w:rFonts w:ascii="Lato" w:cs="Lato" w:eastAsia="Lato" w:hAnsi="Lato"/>
          <w:b w:val="false"/>
          <w:bCs w:val="false"/>
          <w:color w:val="293B49"/>
          <w:sz w:val="22"/>
          <w:szCs w:val="22"/>
        </w:rPr>
        <w:t xml:space="preserve">Kazandıklarınızın helal/temiz olanlarından ve size yerden çıkardıklarımızdan infak edin.” (el-Bakara, 2/267) ve “Hasat edildiğinde ürünün hakkını verin.” (el-En’âm, 6/141) ayetlerinde herhangi bir nisap kaydı olmadan topraktan elde edilen ürünlerden infak edilmesini emretmektedir. Aynı şekilde konuyla ilgili bazı hadislerde (bk. Muvatta’, Zekât, 33; Buhârî, Zekât, 55 [1483]; İbn Ebî Şeybe, el-Musannef, 2/371 [10028]) nisap kaydı olmadan ister az ister çok olsun topraktan çıkan üründen öşür verilmesinin gerektiği ifade edilmektedir. Din İşleri Yüksek Kurulu İmâm Ebu Hanife’nin görüşünü esas almaktadır. Buna göre mülk arazilerinde yetişen bütün toprak ürünleri, üzerinden yıl geçme şartı ve nisap aranmaksızın öşre tâbîdir.</w:t>
      </w:r>
    </w:p>
    <w:p>
      <w:pPr>
        <w:keepNext w:val="false"/>
        <w:spacing w:after="180" w:before="0" w:line="365"/>
        <w:jc w:val="left"/>
      </w:pPr>
      <w:r>
        <w:rPr>
          <w:rFonts w:ascii="Lato" w:cs="Lato" w:eastAsia="Lato" w:hAnsi="Lato"/>
          <w:b w:val="false"/>
          <w:bCs w:val="false"/>
          <w:color w:val="293B49"/>
          <w:sz w:val="22"/>
          <w:szCs w:val="22"/>
        </w:rPr>
        <w:t xml:space="preserve">Ancak kişilerin evlerinin çevresinde bulunan küçük bahçe/bostan/arsalarda yetiştirilen ürünlerden veya bu yerlerdeki ağaçların meyvelerinden öşür verilmesi gerekmez. (bk. İbn Mâze, el-Muhît, 2/327; Bilmen, İlmihâl, 351)</w:t>
      </w:r>
    </w:p>
    <w:p>
      <w:pPr>
        <w:keepNext w:val="false"/>
        <w:pBdr>
          <w:left w:val="single" w:color="8AAEBA" w:sz="16" w:space="10"/>
        </w:pBdr>
        <w:spacing w:after="180" w:before="0" w:line="365"/>
        <w:ind w:left="220"/>
        <w:jc w:val="left"/>
      </w:pPr>
      <w:r>
        <w:rPr>
          <w:rFonts w:ascii="Lato" w:cs="Lato" w:eastAsia="Lato" w:hAnsi="Lato"/>
          <w:b w:val="false"/>
          <w:bCs w:val="false"/>
          <w:color w:val="293B49"/>
          <w:sz w:val="22"/>
          <w:szCs w:val="22"/>
        </w:rPr>
        <w:t xml:space="preserve">Kaynak: Diyanet İşleri Başkanlığı, Din İşleri Yüksek Kurulu Fetvaları (12. Baskı, 2025), s. 304</w:t>
      </w:r>
    </w:p>
    <w:sectPr>
      <w:pgSz w:w="11906" w:h="16838" w:orient="portrait"/>
      <w:pgMar w:top="1250" w:right="1350" w:bottom="1250" w:left="135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haikhHamdullahMushaf">
    <w:family w:val="auto"/>
    <w:pitch w:val="variable"/>
    <w:sig w:usb0="E0002AFF" w:usb1="C000247B" w:usb2="00000009" w:usb3="00000000" w:csb0="000001FF" w:csb1="00000000"/>
    <w:embedRegular r:id="rId1" w:fontKey="{7AB53CD7-FA20-111E-0622-7DBE8E91C37B}"/>
  </w:font>
  <w:font w:name="Lato">
    <w:family w:val="auto"/>
    <w:pitch w:val="variable"/>
    <w:sig w:usb0="E0002AFF" w:usb1="C000247B" w:usb2="00000009" w:usb3="00000000" w:csb0="000001FF" w:csb1="00000000"/>
    <w:embedRegular r:id="rId2" w:fontKey="{ED039149-6EBA-17A9-C869-F485FF1A35C6}"/>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Lato" w:cs="Lato" w:eastAsia="Lato" w:hAnsi="Lato"/>
        <w:color w:val="293B49"/>
        <w:sz w:val="22"/>
        <w:szCs w:val="22"/>
      </w:rPr>
    </w:rPrDefault>
    <w:pPrDefault>
      <w:pPr>
        <w:spacing w:after="180"/>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Toprak Ürünlerinin Öşründe Nisap Var Mıdır?</dc:title>
  <dc:creator>Onlinevaaz</dc:creator>
  <dc:description>Onlinevaaz yazı arşivi</dc:description>
  <cp:lastModifiedBy>Un-named</cp:lastModifiedBy>
  <cp:revision>1</cp:revision>
  <dcterms:created xsi:type="dcterms:W3CDTF">2026-10-03T02:59:12.810Z</dcterms:created>
  <dcterms:modified xsi:type="dcterms:W3CDTF">2026-10-03T02:59:12.810Z</dcterms:modified>
</cp:coreProperties>
</file>

<file path=docProps/custom.xml><?xml version="1.0" encoding="utf-8"?>
<Properties xmlns="http://schemas.openxmlformats.org/officeDocument/2006/custom-properties" xmlns:vt="http://schemas.openxmlformats.org/officeDocument/2006/docPropsVTypes"/>
</file>