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Ehl-i Sünnet Ve’l-Cemaat Hakkında Bilgi Verir Misiniz?</w:t>
      </w:r>
    </w:p>
    <w:p>
      <w:pPr>
        <w:spacing w:after="380"/>
      </w:pPr>
      <w:r>
        <w:rPr>
          <w:rFonts w:ascii="Lato" w:cs="Lato" w:eastAsia="Lato" w:hAnsi="Lato"/>
          <w:color w:val="788D9A"/>
          <w:sz w:val="19"/>
          <w:szCs w:val="19"/>
        </w:rPr>
        <w:t xml:space="preserve">25 Şubat 2026</w:t>
      </w:r>
    </w:p>
    <w:p>
      <w:pPr>
        <w:keepNext w:val="false"/>
        <w:spacing w:after="180" w:before="0" w:line="365"/>
        <w:jc w:val="left"/>
      </w:pPr>
      <w:r>
        <w:rPr>
          <w:rFonts w:ascii="Lato" w:cs="Lato" w:eastAsia="Lato" w:hAnsi="Lato"/>
          <w:b w:val="false"/>
          <w:bCs w:val="false"/>
          <w:color w:val="293B49"/>
          <w:sz w:val="22"/>
          <w:szCs w:val="22"/>
        </w:rPr>
        <w:t xml:space="preserve">Ehl-i Sünnet ve’l-Cemaat ya da kısaca Ehl-i Sünnet tabiri “Hz. Peygamber ile ashabın dinin temel konularında takip ettikleri yolu benimseyenler” manasına gelir. (Yavuz, “Ehl-i Sünnet”, DİA, 10/525) Bilindiği gibi rabbimizin insanlığa gönderdiği İslam’ın öğretileri, son vahiy Kur’ân’ın Hz. Muhammed (s.a.s.) tarafından tebliğ ve beyan edilmesiyle vücut bulmuştur. Hz. Peygamber’in Sünneti; Kur’ân’ın beyanı, somut bir açıklaması ve uygulamasıdır. Kur’ân’ın Hz. Peygamber’e itaati emretmesi, ona Kitab’ı beyan görevi vermesi, onun ve beraberindeki müminlerin yolundan ayrılmayı yasaklaması gibi hükümler, Allah Resûlü’nün Sünnetinin Müslümanlar için sürekli bir rehber ve model olmasını zorunlu kılmıştır.</w:t>
      </w:r>
    </w:p>
    <w:p>
      <w:pPr>
        <w:keepNext w:val="false"/>
        <w:spacing w:after="180" w:before="0" w:line="365"/>
        <w:jc w:val="left"/>
      </w:pPr>
      <w:r>
        <w:rPr>
          <w:rFonts w:ascii="Lato" w:cs="Lato" w:eastAsia="Lato" w:hAnsi="Lato"/>
          <w:b w:val="false"/>
          <w:bCs w:val="false"/>
          <w:color w:val="293B49"/>
          <w:sz w:val="22"/>
          <w:szCs w:val="22"/>
        </w:rPr>
        <w:t xml:space="preserve">Ashâb-ı Kirâm, Resûlullah’a iman edip onunla uzun süre beraber bulunmuş, davranışlarına şahit olmuş, söylediklerini dinlemiş, onun yüce ahlâkını benimsemiş kişilik sahibi, samimi ve fedakâr şahsiyetlerdir. Vahyin inişinin ve tatbikatının canlı tanığı olan Sahâbe-i Kiram, İslam’ı bizzat Hz. Peygamber’den görmesi, öğrenmesi ve yaşayarak sonraki nesillere aktarması nedeniyle önemli bir yere ve ayrıcalığa sahiptirler. Hz. Osman’ın şehit edilmesinden sonra Müslümanlar arasında siyasî ihtilaflar baş göstermiştir. Hz. Ali ve Hz. Muaviye arasındaki hakem olayından sonra Haricilik, diğer Müslümanları tekfir eder bir nitelikte ortaya çıkmış ve ümmetin büyük kitlesini teşkil eden ana topluluktan (Cemaat, Sevâd-ı azam) ayrılmıştır. Aynı şekilde Hz.</w:t>
      </w:r>
    </w:p>
    <w:p>
      <w:pPr>
        <w:keepNext w:val="false"/>
        <w:spacing w:after="180" w:before="0" w:line="365"/>
        <w:jc w:val="left"/>
      </w:pPr>
      <w:r>
        <w:rPr>
          <w:rFonts w:ascii="Lato" w:cs="Lato" w:eastAsia="Lato" w:hAnsi="Lato"/>
          <w:b w:val="false"/>
          <w:bCs w:val="false"/>
          <w:color w:val="293B49"/>
          <w:sz w:val="22"/>
          <w:szCs w:val="22"/>
        </w:rPr>
        <w:t xml:space="preserve">Ali ve onun soyundan gelenlerin imâm/halife olmalarını dinî bir emir ve esas olarak telakki eden ve bunu imanın bir şartı olarak görenler de Hz. Ali taraftarları anlamında “Şia” ismiyle ayrı bir grup oluşturmuşlardır. Bütün bu siyasi mücadeleler neticesinde büyük günah işleyenin durumu, kader, imâmet ve yöneticilere itaat gibi meseleler başlıca tartışma konularını oluşturmuştur. Bunun yanında farklı inanç ve kültürlerle karşılaşılması, naslarda yer alan Allah’ın fiilleri ve sıfatları gibi bazı hususların yeniden yorumlanması ihtiyacını doğurmuştur. Bu tür meseleler Mutezile, Müşebbihe ve Mücessime gibi yeni ekollerin ortaya çıkmasına yol açmıştır. Ümmetin büyük kitlesini teşkil eden ana topluluk, Kur’ân’ı ve Hz.</w:t>
      </w:r>
    </w:p>
    <w:p>
      <w:pPr>
        <w:keepNext w:val="false"/>
        <w:spacing w:after="180" w:before="0" w:line="365"/>
        <w:jc w:val="left"/>
      </w:pPr>
      <w:r>
        <w:rPr>
          <w:rFonts w:ascii="Lato" w:cs="Lato" w:eastAsia="Lato" w:hAnsi="Lato"/>
          <w:b w:val="false"/>
          <w:bCs w:val="false"/>
          <w:color w:val="293B49"/>
          <w:sz w:val="22"/>
          <w:szCs w:val="22"/>
        </w:rPr>
        <w:t xml:space="preserve">Peygamber’in Sünnetini esas almış ve başta Râşit Halifeler olmak üzere Sahâbenin yolunu takip etmiştir. Ümmetin ana gövdesine “Ehl-i Sünnet ve›l-cemaat” adının verilmesinde esas unsur budur. Çünkü diğer gruplar bir veya daha fazla noktada İslam’ın temel esaslarından olmayan bazı meseleleri inanç esası haline getirmeleri gibi nedenlerle “Cemaat”ten ayrılmışlardır. Mesela Hariciler, büyük günah meselesindeki dışlayıcı itikatlarıyla diğer Müslümanları tekfir etmişler, âyet-i kerimeleri, Kur›ân ve Sünnet bütünlüğü içerisinde bilinen anlamlarından farklı olarak yanlış yorumlamışlardır. Aynı şekilde Şiîler, Hz.</w:t>
      </w:r>
    </w:p>
    <w:p>
      <w:pPr>
        <w:keepNext w:val="false"/>
        <w:spacing w:after="180" w:before="0" w:line="365"/>
        <w:jc w:val="left"/>
      </w:pPr>
      <w:r>
        <w:rPr>
          <w:rFonts w:ascii="Lato" w:cs="Lato" w:eastAsia="Lato" w:hAnsi="Lato"/>
          <w:b w:val="false"/>
          <w:bCs w:val="false"/>
          <w:color w:val="293B49"/>
          <w:sz w:val="22"/>
          <w:szCs w:val="22"/>
        </w:rPr>
        <w:t xml:space="preserve">Peygamber’den sonra ümmetin dinî ve siyasî liderinin (imâmın) kim olacağı meselesinde konuyla ilgili Kur’ân ve Sünnetin temel tutumunu ve Sahâbenin anlayışını terk edip, bazı âyet ve rivâyetleri kendi görüşleri doğrultusunda zorlama yorumlara tabi tutmuşlardır. Onlar, imâmetin vahiyle bildirilen ve bir inanç esası olarak kabul edilmesi gereken dinî bir hüküm olduğunu iddia etmişler, âyet ve hadisleri de bu yanlış anlayışlarına dayanak yapmışlardır. İşte İslam’ın anlaşılması ve yaşanmasında Hz. Peygamber’in Sünnetini ve ilk üç nesil Müslüman ümmetin çoğunluğunun (Cemaatin) yolunu takip eden ana kitleye, «Ehl-i Sünnet ve’l-Cemaat» adı verilmesi böyle bir arka plana dayanmaktadır.</w:t>
      </w:r>
    </w:p>
    <w:p>
      <w:pPr>
        <w:keepNext w:val="false"/>
        <w:spacing w:after="180" w:before="0" w:line="365"/>
        <w:jc w:val="left"/>
      </w:pPr>
      <w:r>
        <w:rPr>
          <w:rFonts w:ascii="Lato" w:cs="Lato" w:eastAsia="Lato" w:hAnsi="Lato"/>
          <w:b w:val="false"/>
          <w:bCs w:val="false"/>
          <w:color w:val="293B49"/>
          <w:sz w:val="22"/>
          <w:szCs w:val="22"/>
        </w:rPr>
        <w:t xml:space="preserve">Tarih boyunca selef-i sâlihînin yolunu takip eden geniş Müslüman kitlelerin mensubu bulunduğu Eşarîlik ve Matüridîlik gibi itikadî mezhepler ile Hanefîlik, Malikîlik, Şafîilik ve Hanbelîlik gibi amelî/fıkhî mezhepler, Ehl-i Sünneti temsil edegelmiştir. Aynı şekilde bu itikadî ve fıkhî anlayışları benimseyen ve şer‘î esaslara bağlı kalan tasavvufî yorumlar da Ehl-i Sünnet içerisinde kabul edilmiştir. Dolayısıyla Ehl-i Sünnet tabiri dışlayıcı değil, Kur’ân ve Sünneti anlama ve yorumlamada Sahâbe ve selef-i sâlihînin anlayışını takip eden, açıkça bidat ve dalâlete düşmeyen bütün Müslümanları kapsayıcı bir kavramdır. Ehl-i Sünnetin en önemli ilkelerinden biri, aynı kıbleye yönelen (Ehl-i kıble) hiçbir Müslümanı İslam dairesi dışında görmemektir.</w:t>
      </w:r>
    </w:p>
    <w:p>
      <w:pPr>
        <w:keepNext w:val="false"/>
        <w:spacing w:after="180" w:before="0" w:line="365"/>
        <w:jc w:val="left"/>
      </w:pPr>
      <w:r>
        <w:rPr>
          <w:rFonts w:ascii="Lato" w:cs="Lato" w:eastAsia="Lato" w:hAnsi="Lato"/>
          <w:b w:val="false"/>
          <w:bCs w:val="false"/>
          <w:color w:val="293B49"/>
          <w:sz w:val="22"/>
          <w:szCs w:val="22"/>
        </w:rPr>
        <w:t xml:space="preserve">Zira bidata varan görüşleri nedeniyle, Ehl-i Sünnet ana gövdeden ayrılanlara “Ehl-i bidat” adı verilmiş, ancak bu tekfir gibi ağır bir nitelemeye dönüştürülmemiştir. Ehl-i Sünnete göre bir kimseye Müslüman isminin verilmesi, onun “Ehl-i kıble” oluşu ve Kelime-i Tevhid’i tasdik etmesiyle ilgilidir. Yani “Lâ ilâhe illallâh Muhammedün Resûlullâh” düstûrunu benimseyen ve dile getiren herkes mümindir. Bu kimse, dinin emir ve yasakları konusunda ihmalkâr davransa da İslam dışında görülemez ve küfürle itham edilemez. Ehl-i Sünnetin bu konulardaki bazı esasları şöyledir: - Bir fiil veya sözün “küfür” kapsamına girmesiyle, bu tür fiilleri işleyen veya sözleri söyleyen kimse hakkında “kâfir” hükmü verilmesi aynı şey değildir.</w:t>
      </w:r>
    </w:p>
    <w:p>
      <w:pPr>
        <w:keepNext w:val="false"/>
        <w:spacing w:after="180" w:before="0" w:line="365"/>
        <w:jc w:val="left"/>
      </w:pPr>
      <w:r>
        <w:rPr>
          <w:rFonts w:ascii="Lato" w:cs="Lato" w:eastAsia="Lato" w:hAnsi="Lato"/>
          <w:b w:val="false"/>
          <w:bCs w:val="false"/>
          <w:color w:val="293B49"/>
          <w:sz w:val="22"/>
          <w:szCs w:val="22"/>
        </w:rPr>
        <w:t xml:space="preserve">Dinin zorunlu olarak bilinen esaslarından birisini veya birkaçını inkâr ettiğini kendi irade ve rızasıyla açıkça beyan etmedikçe bir kimsenin kâfir olduğuna hükmedilemez. - Kur’ân âyetlerine getirilen yorum ve tevil, Allah’tan başka bir ilâhın varlığını kabul etme, Allah’ın bazı insanların şahsına hulul ettiğine inanma, Hz. Muhammed’in (s.a.s.) peygamberliğini inkâr etme veya peygamberliğin O’ndan sonra devam ettiğini iddia etme; katî delillerle sabit olan haramları helal sayma ya da şer‘î yükümlülükleri kaldırma gibi dinin zorunlu olarak bilinen hüküm ve esaslarının dışına çıkmadığı veya bunları alay konusu etmediği sürece tekfir sebebi olarak görülmez.</w:t>
      </w:r>
    </w:p>
    <w:p>
      <w:pPr>
        <w:keepNext w:val="false"/>
        <w:spacing w:after="180" w:before="0" w:line="365"/>
        <w:jc w:val="left"/>
      </w:pPr>
      <w:r>
        <w:rPr>
          <w:rFonts w:ascii="Lato" w:cs="Lato" w:eastAsia="Lato" w:hAnsi="Lato"/>
          <w:b w:val="false"/>
          <w:bCs w:val="false"/>
          <w:color w:val="293B49"/>
          <w:sz w:val="22"/>
          <w:szCs w:val="22"/>
        </w:rPr>
        <w:t xml:space="preserve">Bu itibarla İslam âlimleri bu hususu, “tenzilin inkârı küfürdür, tevili ise küfür değildir” şeklinde bir ilke haline getirmişlerdir. Bununla beraber günümüzde bazı kişi ve gruplar kendi görüşlerini merkeze alıp bunlara aykırı gördükleri her türlü farklı yorumu Ehl-i Sünnet karşıtı olarak nitelendirmekte ve mahkûm etmektedirler. Bu ve benzeri daraltıcı ve dışlayıcı tutumlar, İslam tarihi boyunca kuşatıcılığı ve kapsayıcılığı esas alan Ehl-i Sünnet anlayışıyla uyuşmamaktadır.</w:t>
      </w:r>
    </w:p>
    <w:p>
      <w:pPr>
        <w:keepNext w:val="false"/>
        <w:spacing w:after="180" w:before="0" w:line="365"/>
        <w:jc w:val="left"/>
      </w:pPr>
      <w:r>
        <w:rPr>
          <w:rFonts w:ascii="Lato" w:cs="Lato" w:eastAsia="Lato" w:hAnsi="Lato"/>
          <w:b w:val="false"/>
          <w:bCs w:val="false"/>
          <w:color w:val="293B49"/>
          <w:sz w:val="22"/>
          <w:szCs w:val="22"/>
        </w:rPr>
        <w:t xml:space="preserve">Özellikle günümüzde Ehl-i Sünnet kavramını dinî ve ideolojik bir yaftalamaya dönüştüren bu anlayışlar, ayrımcı ve ötekileştirici bir tavrı öne çıkardığı gibi güncel meydan okumalar karşısında yeni yorum ve çözümlere yönelen tüm arayışları Ehl-i Sünnet dairesinden çıkmakla itham etmektedirler. Müslümanın yapması gereken geçmişten günümüze İslam’ın ana yolunu temsil eden Ehl-i Sünnet tabirini bu türden dışlayıcı bakış açılarına kurban etmemesi ve bu kavramı ideolojik bir yaftalamaya alet etmemesidir. Bu itibarla Ehl-i Sünnet yaklaşımı, yukarıda belirtilen çerçevede bütün Müslümanları kucaklayan ve ötekileştirmeden İslam’ın kardeşlik inancını pekiştiren bir anlayıştır.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820BF60-E967-C8A3-6FDA-B908B6F54AC2}"/>
  </w:font>
  <w:font w:name="Lato">
    <w:family w:val="auto"/>
    <w:pitch w:val="variable"/>
    <w:sig w:usb0="E0002AFF" w:usb1="C000247B" w:usb2="00000009" w:usb3="00000000" w:csb0="000001FF" w:csb1="00000000"/>
    <w:embedRegular r:id="rId2" w:fontKey="{F1A0756C-FD59-49E2-06AE-2032CBE982D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Ehl-i Sünnet Ve’l-Cemaat Hakkında Bilgi Verir Misiniz?</dc:title>
  <dc:creator>Onlinevaaz</dc:creator>
  <dc:description>Onlinevaaz yazı arşivi</dc:description>
  <cp:lastModifiedBy>Un-named</cp:lastModifiedBy>
  <cp:revision>1</cp:revision>
  <dcterms:created xsi:type="dcterms:W3CDTF">2026-10-03T02:58:14.165Z</dcterms:created>
  <dcterms:modified xsi:type="dcterms:W3CDTF">2026-10-03T02:58:14.165Z</dcterms:modified>
</cp:coreProperties>
</file>

<file path=docProps/custom.xml><?xml version="1.0" encoding="utf-8"?>
<Properties xmlns="http://schemas.openxmlformats.org/officeDocument/2006/custom-properties" xmlns:vt="http://schemas.openxmlformats.org/officeDocument/2006/docPropsVTypes"/>
</file>