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Cenaze Namazı Nasıl Kılınır?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Cenaze namazı rükû ve secdesi olmayan bir namazdır; rükünleri kıyam ve tekbirlerdir. Cenaze namazında iftitâh (başlangıç) tekbiriyle birlikte dört tekbir bulunmaktadır. Selâm vermek vâciptir. Sünnetleri ise Allah’a hamd ve sena etmek, Resûlullah’a (s.a.s.) salât ve selâm getirmek, hem vefat eden kişi hem de Müslümanlar için dua etmekten ibarettir. Cenaze namazı kılmak için cenazeye karşı ve kıbleye yönelik olarak saf bağlanır ve niyet edilir. İmam ve cemaat tekbir alarak ellerini bağlarlar “ve celle senâük” cümlesiyle birlikte “Sübhâneke” duasını okurlar. Ardından, eller kaldırılmadan tekbir alınır ve “Salli-Bârik” duaları okunur. Tekrar eller kaldırılmaksızın tekbir alınır.</w:t>
      </w:r>
    </w:p>
    <w:p>
      <w:pPr>
        <w:keepNext w:val="false"/>
        <w:spacing w:after="180" w:before="0" w:line="365"/>
        <w:jc w:val="left"/>
      </w:pPr>
      <w:r>
        <w:rPr>
          <w:rFonts w:ascii="Lato" w:cs="Lato" w:eastAsia="Lato" w:hAnsi="Lato"/>
          <w:b w:val="false"/>
          <w:bCs w:val="false"/>
          <w:color w:val="293B49"/>
          <w:sz w:val="22"/>
          <w:szCs w:val="22"/>
        </w:rPr>
        <w:t xml:space="preserve">Bilenler cenaze duasını (Tirmizî, Cenâiz, 38 [1024-1025]) bilmeyenler ise dua niyetiyle “Fâtiha” sûresini (Tirmizî, Cenâiz, 39 [1026]) veya başka bir duayı okurlar. Dördüncü tekbirden sonra sağa ve sola selâm verilir. Böylece namaz tamamlanmış olur. Cenaze namazında taharet, kıbleye yönelmek, setr-i avret (vücudun örtülmesi gereken yerlerini örtmek) ve niyet gibi şartlara riâyet edilir. Namazı kılınacak cenazenin Müslüman olması, yıkanıp kefenlenmiş olması, cemaatin önünde olması gerekir. Ayrıca Hanefî ve Mâlikîlere göre bedeninin tamamı veya yarıdan fazlası yahut başı ile birlikte en az yarısı bulunmalıdır. Şâfiîlere göre ise kişi ölüp de bir tek uzvu bulunsa bile cenaze namazı kılınır.</w:t>
      </w:r>
    </w:p>
    <w:p>
      <w:pPr>
        <w:keepNext w:val="false"/>
        <w:spacing w:after="180" w:before="0" w:line="365"/>
        <w:jc w:val="left"/>
      </w:pPr>
      <w:r>
        <w:rPr>
          <w:rFonts w:ascii="Lato" w:cs="Lato" w:eastAsia="Lato" w:hAnsi="Lato"/>
          <w:b w:val="false"/>
          <w:bCs w:val="false"/>
          <w:color w:val="293B49"/>
          <w:sz w:val="22"/>
          <w:szCs w:val="22"/>
        </w:rPr>
        <w:t xml:space="preserve">Nitekim ashâb, ölen ve sadece eli bulunan bir sahabînin namazını kılmıştır. (Şirbînî, Muğni’l-muhtâc, 2/32) Canlı olarak doğup ölen çocuk yıkanır ve cenaze namazı kılınır. (el-Fetâva’l-Hindiyye, 1/159)</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269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116E094-EA0A-957C-DBFB-FD3CFD5AB13A}"/>
  </w:font>
  <w:font w:name="Lato">
    <w:family w:val="auto"/>
    <w:pitch w:val="variable"/>
    <w:sig w:usb0="E0002AFF" w:usb1="C000247B" w:usb2="00000009" w:usb3="00000000" w:csb0="000001FF" w:csb1="00000000"/>
    <w:embedRegular r:id="rId2" w:fontKey="{0D1C0FCB-D477-01E4-0523-B6FF10922E3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Cenaze Namazı Nasıl Kılınır?</dc:title>
  <dc:creator>Onlinevaaz</dc:creator>
  <dc:description>Onlinevaaz yazı arşivi</dc:description>
  <cp:lastModifiedBy>Un-named</cp:lastModifiedBy>
  <cp:revision>1</cp:revision>
  <dcterms:created xsi:type="dcterms:W3CDTF">2026-10-03T02:59:03.307Z</dcterms:created>
  <dcterms:modified xsi:type="dcterms:W3CDTF">2026-10-03T02:59:03.307Z</dcterms:modified>
</cp:coreProperties>
</file>

<file path=docProps/custom.xml><?xml version="1.0" encoding="utf-8"?>
<Properties xmlns="http://schemas.openxmlformats.org/officeDocument/2006/custom-properties" xmlns:vt="http://schemas.openxmlformats.org/officeDocument/2006/docPropsVTypes"/>
</file>