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Eski ve Yıpranmış Olan Mushaf, Meal ve Tefsir Kitapları Ne Yapılmalıdır?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Kur’ân-ı Kerîm, ilâhî kelâm olduğu için ona karşı hürmetsizlik anlamına gelecek her türlü tutum ve davranıştan kaçınılması gerekir. Bu itibarla eski ve yıpranmış olan Mushafların, lafza-ı celâlin (Allah lafzının) veya âyetlerin yazılı olduğu kitapların ve sayfaların imhasında da saygısızlık olarak değerlendirilebilecek davranışlardan uzak durulmalıdır. Hanefî ve Hanbelî âlimler eskimiş, yıpranmış veya okunamayacak hâlde olan Mushafları ya da Allah lafzının ve Kur’ân âyetlerinin yazılı olduğu kâğıtları ve kitapları toprağa gömmek gerektiğini belirtmişlerdir. (Haskefî, ed-Dürrü’l-muhtâr, 30; İbn Teymiyye, Mecmû‘u’l-fetâvâ, 12/599; Buhûtî, Keşşâf, 1/137) Diğer bazı âlimler ise istifade imkânı kalmamış olan Mushafların, Hz.</w:t>
      </w:r>
    </w:p>
    <w:p>
      <w:pPr>
        <w:keepNext w:val="false"/>
        <w:spacing w:after="180" w:before="0" w:line="365"/>
        <w:jc w:val="left"/>
      </w:pPr>
      <w:r>
        <w:rPr>
          <w:rFonts w:ascii="Lato" w:cs="Lato" w:eastAsia="Lato" w:hAnsi="Lato"/>
          <w:b w:val="false"/>
          <w:bCs w:val="false"/>
          <w:color w:val="293B49"/>
          <w:sz w:val="22"/>
          <w:szCs w:val="22"/>
        </w:rPr>
        <w:t xml:space="preserve">Osman’ın uygulamalarından hareketle Kur’ân’ın hürmetine uygun bir şekilde yakılabileceği görüşündedirler. (Buhârî, Fezâilü’l-Kur’ân, 3 [4987]; Beyhakî, Şu‘abü’l-Îmân, 3/154; Zerkeşî, el-Burhân, 2/106; Süyûtî, el-İtkân, 2258) Bu yöntemlerin yanı sıra günümüzde Mushaflar, Kur’ân-ı Kerîm’in saygınlığına halel gelmeyecek şekilde geri dönüşüme gönderilebilir. Bu itibarla Diyanet İşleri Başkanlığının uygun göreceği bir usûlle geri dönüşümde değerlendirilmek üzere Mushaflar, cami görevlilerine veya müftülüklere teslim edilebilir.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550</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8262B772-B60C-699A-4698-053D2B75624A}"/>
  </w:font>
  <w:font w:name="Lato">
    <w:family w:val="auto"/>
    <w:pitch w:val="variable"/>
    <w:sig w:usb0="E0002AFF" w:usb1="C000247B" w:usb2="00000009" w:usb3="00000000" w:csb0="000001FF" w:csb1="00000000"/>
    <w:embedRegular r:id="rId2" w:fontKey="{0A6BCA13-5C6A-F225-2047-361750EE9775}"/>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Eski ve Yıpranmış Olan Mushaf, Meal ve Tefsir Kitapları Ne Yapılmalıdır?</dc:title>
  <dc:creator>Onlinevaaz</dc:creator>
  <dc:description>Onlinevaaz yazı arşivi</dc:description>
  <cp:lastModifiedBy>Un-named</cp:lastModifiedBy>
  <cp:revision>1</cp:revision>
  <dcterms:created xsi:type="dcterms:W3CDTF">2026-10-03T03:00:08.537Z</dcterms:created>
  <dcterms:modified xsi:type="dcterms:W3CDTF">2026-10-03T03:00:08.537Z</dcterms:modified>
</cp:coreProperties>
</file>

<file path=docProps/custom.xml><?xml version="1.0" encoding="utf-8"?>
<Properties xmlns="http://schemas.openxmlformats.org/officeDocument/2006/custom-properties" xmlns:vt="http://schemas.openxmlformats.org/officeDocument/2006/docPropsVTypes"/>
</file>