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Bdr>
          <w:bottom w:val="single" w:color="D6E3E8" w:sz="7" w:space="10"/>
        </w:pBdr>
        <w:spacing w:after="240"/>
      </w:pPr>
      <w:r>
        <w:rPr>
          <w:rFonts w:ascii="Lato" w:cs="Lato" w:eastAsia="Lato" w:hAnsi="Lato"/>
          <w:b/>
          <w:bCs/>
          <w:color w:val="315E70"/>
          <w:spacing w:val="34"/>
          <w:sz w:val="18"/>
          <w:szCs w:val="18"/>
        </w:rPr>
        <w:t xml:space="preserve">ONLINEVAAZ</w:t>
      </w:r>
    </w:p>
    <w:p>
      <w:pPr>
        <w:keepNext/>
        <w:spacing w:after="150" w:before="250"/>
      </w:pPr>
      <w:r>
        <w:rPr>
          <w:rFonts w:ascii="Lato" w:cs="Lato" w:eastAsia="Lato" w:hAnsi="Lato"/>
          <w:b/>
          <w:bCs/>
          <w:color w:val="172D3B"/>
          <w:sz w:val="38"/>
          <w:szCs w:val="38"/>
        </w:rPr>
        <w:t xml:space="preserve">Abdestsiz, Cünüp veya Âdetli Olarak Yapılan Şeytan Taşlama Geçerli Midir?</w:t>
      </w:r>
    </w:p>
    <w:p>
      <w:pPr>
        <w:spacing w:after="380"/>
      </w:pPr>
      <w:r>
        <w:rPr>
          <w:rFonts w:ascii="Lato" w:cs="Lato" w:eastAsia="Lato" w:hAnsi="Lato"/>
          <w:color w:val="788D9A"/>
          <w:sz w:val="19"/>
          <w:szCs w:val="19"/>
        </w:rPr>
        <w:t xml:space="preserve">22 Nisan 2025</w:t>
      </w:r>
    </w:p>
    <w:p>
      <w:pPr>
        <w:keepNext w:val="false"/>
        <w:spacing w:after="180" w:before="0" w:line="365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Abdestsiz, cünüp veya âdetli olarak yapılan şeytan taşlama geçerlidir; herhangi bir ceza gerekmez. (Kâsânî, Bedâ’i, 2/127)</w:t>
      </w:r>
    </w:p>
    <w:p>
      <w:pPr>
        <w:keepNext w:val="false"/>
        <w:pBdr>
          <w:left w:val="single" w:color="8AAEBA" w:sz="16" w:space="10"/>
        </w:pBdr>
        <w:spacing w:after="180" w:before="0" w:line="365"/>
        <w:ind w:left="220"/>
        <w:jc w:val="left"/>
      </w:pPr>
      <w:r>
        <w:rPr>
          <w:rFonts w:ascii="Lato" w:cs="Lato" w:eastAsia="Lato" w:hAnsi="Lato"/>
          <w:b w:val="false"/>
          <w:bCs w:val="false"/>
          <w:color w:val="293B49"/>
          <w:sz w:val="22"/>
          <w:szCs w:val="22"/>
        </w:rPr>
        <w:t xml:space="preserve">Kaynak: Diyanet İşleri Başkanlığı, Din İşleri Yüksek Kurulu Fetvaları (12. Baskı, 2025), s. 426</w:t>
      </w:r>
    </w:p>
    <w:sectPr>
      <w:pgSz w:w="11906" w:h="16838" w:orient="portrait"/>
      <w:pgMar w:top="1250" w:right="1350" w:bottom="1250" w:left="135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haikhHamdullahMushaf">
    <w:family w:val="auto"/>
    <w:pitch w:val="variable"/>
    <w:sig w:usb0="E0002AFF" w:usb1="C000247B" w:usb2="00000009" w:usb3="00000000" w:csb0="000001FF" w:csb1="00000000"/>
    <w:embedRegular r:id="rId1" w:fontKey="{5B699EC0-4676-C98E-55E0-CB02ACA4E4C5}"/>
  </w:font>
  <w:font w:name="Lato">
    <w:family w:val="auto"/>
    <w:pitch w:val="variable"/>
    <w:sig w:usb0="E0002AFF" w:usb1="C000247B" w:usb2="00000009" w:usb3="00000000" w:csb0="000001FF" w:csb1="00000000"/>
    <w:embedRegular r:id="rId2" w:fontKey="{5FB46208-1CF8-942C-B1AE-A98417258908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Lato" w:cs="Lato" w:eastAsia="Lato" w:hAnsi="Lato"/>
        <w:color w:val="293B49"/>
        <w:sz w:val="22"/>
        <w:szCs w:val="22"/>
      </w:rPr>
    </w:rPrDefault>
    <w:pPrDefault>
      <w:pPr>
        <w:spacing w:after="180"/>
      </w:pPr>
    </w:pPrDefault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Abdestsiz, Cünüp veya Âdetli Olarak Yapılan Şeytan Taşlama Geçerli Midir?</dc:title>
  <dc:creator>Onlinevaaz</dc:creator>
  <dc:description>Onlinevaaz yazı arşivi</dc:description>
  <cp:lastModifiedBy>Un-named</cp:lastModifiedBy>
  <cp:revision>1</cp:revision>
  <dcterms:created xsi:type="dcterms:W3CDTF">2026-10-03T03:03:52.605Z</dcterms:created>
  <dcterms:modified xsi:type="dcterms:W3CDTF">2026-10-03T03:03:52.605Z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