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Aynı Yasağı Birden Fazla İşleyen İhramlı Bir Kimseye Ne Gerekir?</w:t>
      </w:r>
    </w:p>
    <w:p>
      <w:pPr>
        <w:spacing w:after="380"/>
      </w:pPr>
      <w:r>
        <w:rPr>
          <w:rFonts w:ascii="Lato" w:cs="Lato" w:eastAsia="Lato" w:hAnsi="Lato"/>
          <w:color w:val="788D9A"/>
          <w:sz w:val="19"/>
          <w:szCs w:val="19"/>
        </w:rPr>
        <w:t xml:space="preserve">22 Nisan 2025</w:t>
      </w:r>
    </w:p>
    <w:p>
      <w:pPr>
        <w:keepNext w:val="false"/>
        <w:spacing w:after="180" w:before="0" w:line="365"/>
        <w:jc w:val="left"/>
      </w:pPr>
      <w:r>
        <w:rPr>
          <w:rFonts w:ascii="Lato" w:cs="Lato" w:eastAsia="Lato" w:hAnsi="Lato"/>
          <w:b w:val="false"/>
          <w:bCs w:val="false"/>
          <w:color w:val="293B49"/>
          <w:sz w:val="22"/>
          <w:szCs w:val="22"/>
        </w:rPr>
        <w:t xml:space="preserve">Aynı ihram yasağının aynı mekân ve zamanda birden fazla işlenmesi hâlinde tek bir ceza yeterlidir. Farklı mekân ve zamanda işlenmesi hâlinde ise İmam Ebû Hanîfe, Ebû Yûsuf ve Şâfiîlere göre her bir ihlal için ayrı ayrı ceza gerekir. İmam Muhammed’e göre aynı ihram yasağının farklı mekân ve zamanda da olsa birden fazla ihlal edilmesi hâlinde henüz bir ceza ödenmediyse bütün ihlaller için tek bir ceza yeterlidir. (Kâsânî, Bedâ’i, 2/188-190, 217-218; Zeylaî, Tebyîn, 2/55-56; Aynî, el-Binâye, 4/341-342; Zekeriyyâ el-Ensârî, Esne’l-metâlib, 1/523)</w:t>
      </w:r>
    </w:p>
    <w:p>
      <w:pPr>
        <w:keepNext w:val="false"/>
        <w:pBdr>
          <w:left w:val="single" w:color="8AAEBA" w:sz="16" w:space="10"/>
        </w:pBdr>
        <w:spacing w:after="180" w:before="0" w:line="365"/>
        <w:ind w:left="220"/>
        <w:jc w:val="left"/>
      </w:pPr>
      <w:r>
        <w:rPr>
          <w:rFonts w:ascii="Lato" w:cs="Lato" w:eastAsia="Lato" w:hAnsi="Lato"/>
          <w:b w:val="false"/>
          <w:bCs w:val="false"/>
          <w:color w:val="293B49"/>
          <w:sz w:val="22"/>
          <w:szCs w:val="22"/>
        </w:rPr>
        <w:t xml:space="preserve">Kaynak: Diyanet İşleri Başkanlığı, Din İşleri Yüksek Kurulu Fetvaları (12. Baskı, 2025), s. 407</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3B544C0B-E87D-ED42-D3DD-C1BA2985A619}"/>
  </w:font>
  <w:font w:name="Lato">
    <w:family w:val="auto"/>
    <w:pitch w:val="variable"/>
    <w:sig w:usb0="E0002AFF" w:usb1="C000247B" w:usb2="00000009" w:usb3="00000000" w:csb0="000001FF" w:csb1="00000000"/>
    <w:embedRegular r:id="rId2" w:fontKey="{5534C162-0057-5119-A2E6-85ED9A0B43CE}"/>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Aynı Yasağı Birden Fazla İşleyen İhramlı Bir Kimseye Ne Gerekir?</dc:title>
  <dc:creator>Onlinevaaz</dc:creator>
  <dc:description>Onlinevaaz yazı arşivi</dc:description>
  <cp:lastModifiedBy>Un-named</cp:lastModifiedBy>
  <cp:revision>1</cp:revision>
  <dcterms:created xsi:type="dcterms:W3CDTF">2026-10-03T02:17:30.706Z</dcterms:created>
  <dcterms:modified xsi:type="dcterms:W3CDTF">2026-10-03T02:17:30.706Z</dcterms:modified>
</cp:coreProperties>
</file>

<file path=docProps/custom.xml><?xml version="1.0" encoding="utf-8"?>
<Properties xmlns="http://schemas.openxmlformats.org/officeDocument/2006/custom-properties" xmlns:vt="http://schemas.openxmlformats.org/officeDocument/2006/docPropsVTypes"/>
</file>