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Doğum Dışında Kendiliğinden veya İlaç Yoluyla Gelen Süt, Mahremiyet Oluşturur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Kadınlarda süt; doğum yoluyla oluşabildiği gibi kendiliğinden veya süt salgılayan oksitosin hormonunun bazı ilaçlarla ve destek yöntemlerle uyarılması yoluyla da gelebilmektedir. Bebeğin ilk iki yaş içerisinde annesi dışında bir kadının sütünü emmesiyle, süt hısımlığı oluşur. (el-Bakara, 2/233) Bu noktada sütün hangi sebebe bağlı olarak geldiğinin önemi yoktur. Dolayısıyla hangi sebeple gelirse gelsin, bir kadının sütünü, süt çağındaki bir çocuğun emmesi hâlinde, bu çocukla, emziren kadın ve belli derecedeki yakınları arasında süt hısımlığı oluşur. Doğum dışında bir yolla süt gelmesi durumunda, sütün oluşumunda etkisi bulunmadığından kadının kocası sütbaba olmaz; emen çocuğun üvey babası olur.</w:t>
      </w:r>
    </w:p>
    <w:p>
      <w:pPr>
        <w:keepNext w:val="false"/>
        <w:spacing w:after="180" w:before="0" w:line="365"/>
        <w:jc w:val="left"/>
      </w:pPr>
      <w:r>
        <w:rPr>
          <w:rFonts w:ascii="Lato" w:cs="Lato" w:eastAsia="Lato" w:hAnsi="Lato"/>
          <w:b w:val="false"/>
          <w:bCs w:val="false"/>
          <w:color w:val="293B49"/>
          <w:sz w:val="22"/>
          <w:szCs w:val="22"/>
        </w:rPr>
        <w:t xml:space="preserve">Buna bağlı olarak süt çocukla üvey baba arasında tesettür vb. konularda mahrem akrabalara ilişkin ölçü ve hükümler geçerli hale gelir. Bu hükümlerin geçerlilik kazanması, eşler arasında cinsel ilişki yaşanmış olmasına bağlıdır. Ayrıca bu durumda süt hısımlığına ilişkin hükümler koca ile sınırlı olup; onun başka eşinden çocuklarını ve diğer akrabalarını kapsamaz. (bk. Mevsılî, el-İhtiyâr, 3/118-119; Kâsânî, Bedâ’i, 4/11; el-Fetâva’l-Hindiyye, 1/343- 344; Şirbînî, Muğni’l-muhtâc, 5/139-142; Kalyûbî, Hâşiyetu Kalyûbî, 4/68; İbn Rüşd el-Cedd, el-Beyân ve’t-tahsîl, 5/164-165)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577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7A65955-91E0-557B-DE66-C6D505D763D5}"/>
  </w:font>
  <w:font w:name="Lato">
    <w:family w:val="auto"/>
    <w:pitch w:val="variable"/>
    <w:sig w:usb0="E0002AFF" w:usb1="C000247B" w:usb2="00000009" w:usb3="00000000" w:csb0="000001FF" w:csb1="00000000"/>
    <w:embedRegular r:id="rId2" w:fontKey="{92C82863-549C-7D0B-32A0-4B45D80AAA2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Doğum Dışında Kendiliğinden veya İlaç Yoluyla Gelen Süt, Mahremiyet Oluşturur Mu?</dc:title>
  <dc:creator>Onlinevaaz</dc:creator>
  <dc:description>Onlinevaaz yazı arşivi</dc:description>
  <cp:lastModifiedBy>Un-named</cp:lastModifiedBy>
  <cp:revision>1</cp:revision>
  <dcterms:created xsi:type="dcterms:W3CDTF">2026-10-03T02:17:55.715Z</dcterms:created>
  <dcterms:modified xsi:type="dcterms:W3CDTF">2026-10-03T02:17:55.715Z</dcterms:modified>
</cp:coreProperties>
</file>

<file path=docProps/custom.xml><?xml version="1.0" encoding="utf-8"?>
<Properties xmlns="http://schemas.openxmlformats.org/officeDocument/2006/custom-properties" xmlns:vt="http://schemas.openxmlformats.org/officeDocument/2006/docPropsVTypes"/>
</file>