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6E3E8" w:sz="7" w:space="10"/>
        </w:pBdr>
        <w:spacing w:after="240"/>
      </w:pPr>
      <w:r>
        <w:rPr>
          <w:rFonts w:ascii="Lato" w:cs="Lato" w:eastAsia="Lato" w:hAnsi="Lato"/>
          <w:b/>
          <w:bCs/>
          <w:color w:val="315E70"/>
          <w:spacing w:val="34"/>
          <w:sz w:val="18"/>
          <w:szCs w:val="18"/>
        </w:rPr>
        <w:t xml:space="preserve">ONLINEVAAZ</w:t>
      </w:r>
    </w:p>
    <w:p>
      <w:pPr>
        <w:keepNext/>
        <w:spacing w:after="150" w:before="250"/>
      </w:pPr>
      <w:r>
        <w:rPr>
          <w:rFonts w:ascii="Lato" w:cs="Lato" w:eastAsia="Lato" w:hAnsi="Lato"/>
          <w:b/>
          <w:bCs/>
          <w:color w:val="172D3B"/>
          <w:sz w:val="38"/>
          <w:szCs w:val="38"/>
        </w:rPr>
        <w:t xml:space="preserve">Müslüman Erkek Gayrimüslim Bir Kadınla Evlenebilir Mi?</w:t>
      </w:r>
    </w:p>
    <w:p>
      <w:pPr>
        <w:spacing w:after="380"/>
      </w:pPr>
      <w:r>
        <w:rPr>
          <w:rFonts w:ascii="Lato" w:cs="Lato" w:eastAsia="Lato" w:hAnsi="Lato"/>
          <w:color w:val="788D9A"/>
          <w:sz w:val="19"/>
          <w:szCs w:val="19"/>
        </w:rPr>
        <w:t xml:space="preserve">22 Nisan 2025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Dinî değer ve hayatın muhafazası, geliştirilip devam ettirilmesi ve gelecek nesillere aktarılması gibi önemli sosyal fonksiyonlar icra eden aile kurumuna hukukî meşruiyet kazandıran evlenme akdinin sınır ve şartları Kur’ân-ı Kerîm’de ve Sünnet’te tafsilatlı bir şekilde yer almış, kimlerle evlenilip kimlerle evlenilemeyeceği detaylı olarak açıklanmıştır. Bu bağlamda dinimizde Müslüman bir erkeğin Ehl-i kitap (Yahudi ve Hristiyan) kadınlarla evlenebileceği; Ehl-i kitap dışındaki gayrimüslim (ateist, deist, budist vb.) kadınlarla ise evlenemeyeceği belirtilmiştir. (el-Bakara, 2/221; el-Mâide, 5/5) Şu kadar var ki eş seçiminde Müslüman hanımların tercih edilmesi aile huzuru, neslin korunması ve toplumsal uyum açısından daha uygundur.</w:t>
      </w:r>
    </w:p>
    <w:p>
      <w:pPr>
        <w:keepNext w:val="false"/>
        <w:pBdr>
          <w:left w:val="single" w:color="8AAEBA" w:sz="16" w:space="10"/>
        </w:pBdr>
        <w:spacing w:after="180" w:before="0" w:line="365"/>
        <w:ind w:left="220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Kaynak: Diyanet İşleri Başkanlığı, Din İşleri Yüksek Kurulu Fetvaları (12. Baskı, 2025), s. 561</w:t>
      </w:r>
    </w:p>
    <w:sectPr>
      <w:pgSz w:w="11906" w:h="16838" w:orient="portrait"/>
      <w:pgMar w:top="1250" w:right="1350" w:bottom="1250" w:left="13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haikhHamdullahMushaf">
    <w:family w:val="auto"/>
    <w:pitch w:val="variable"/>
    <w:sig w:usb0="E0002AFF" w:usb1="C000247B" w:usb2="00000009" w:usb3="00000000" w:csb0="000001FF" w:csb1="00000000"/>
    <w:embedRegular r:id="rId1" w:fontKey="{BD6F7775-72B8-95A4-F84B-D9FCB0823890}"/>
  </w:font>
  <w:font w:name="Lato">
    <w:family w:val="auto"/>
    <w:pitch w:val="variable"/>
    <w:sig w:usb0="E0002AFF" w:usb1="C000247B" w:usb2="00000009" w:usb3="00000000" w:csb0="000001FF" w:csb1="00000000"/>
    <w:embedRegular r:id="rId2" w:fontKey="{9CD0DB27-E497-0D28-E8F9-BCF66A382763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to" w:cs="Lato" w:eastAsia="Lato" w:hAnsi="Lato"/>
        <w:color w:val="293B49"/>
        <w:sz w:val="22"/>
        <w:szCs w:val="22"/>
      </w:rPr>
    </w:rPrDefault>
    <w:pPrDefault>
      <w:pPr>
        <w:spacing w:after="18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Müslüman Erkek Gayrimüslim Bir Kadınla Evlenebilir Mi?</dc:title>
  <dc:creator>Onlinevaaz</dc:creator>
  <dc:description>Onlinevaaz yazı arşivi</dc:description>
  <cp:lastModifiedBy>Un-named</cp:lastModifiedBy>
  <cp:revision>1</cp:revision>
  <dcterms:created xsi:type="dcterms:W3CDTF">2026-10-03T02:59:44.310Z</dcterms:created>
  <dcterms:modified xsi:type="dcterms:W3CDTF">2026-10-03T02:59:44.310Z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