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Boşanan Kadının Malî Hakları Nelerdir?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Boşanan kadın, eğer halvet-i sahiha veya zifaf gerçekleşmişse hakkı olan mehrin tamamını alır. Ayrıca erkek eşini, onun talebi olmaksızın boşamışsa, müt‘a adı verilen gönül alıcı bir hediyenin verilmesi, Şâfiî mezhebine göre vâcip, Hanefî mezhebine göre müstehap görülmüştür. (İbn Âbidîn, Reddü’l-muhtâr, 3/111; Zekeriyyâ el-Ensârî, Esne’l-metâlib, 3/219-220) Şayet nikâh esnasında veya sonrasında belirlenmiş bir mehir yoksa kadın, başta kız kardeşleri olmak üzere kendisine babası tarafından olan akrabalarından eğitim, güzellik, sosyal statü itibarıyla denk sayılacak bir kadının aldığı kadar bir mehri hak eder. Buna mehr-i misil denir.</w:t>
      </w:r>
    </w:p>
    <w:p>
      <w:pPr>
        <w:keepNext w:val="false"/>
        <w:spacing w:after="180" w:before="0" w:line="365"/>
        <w:jc w:val="left"/>
      </w:pPr>
      <w:r>
        <w:rPr>
          <w:rFonts w:ascii="Lato" w:cs="Lato" w:eastAsia="Lato" w:hAnsi="Lato"/>
          <w:b w:val="false"/>
          <w:bCs w:val="false"/>
          <w:color w:val="293B49"/>
          <w:sz w:val="22"/>
          <w:szCs w:val="22"/>
        </w:rPr>
        <w:t xml:space="preserve">Ayrıca erkeğin, boşadığı kadının bekleyeceği iddet süresince, ona nafaka ve mesken temin etmesi gerekir. (et-Talâk, 65/1, 6) Şayet bir kadın henüz kocası ile cinsel birliktelik yaşamadan veya halvet-i sahîha meydana gelmeden boşanmışsa, belirlenen mehrin yarısını; (el-Bakara, 2/237) mehir belirlenmemişse fıkıh ıstılahında “müt‘a” denilen hediyeyi hak eder. (el-Bakara, 2/236) Kur’ân ve Sünnet’te müt‘anın ne kadar olduğu belirlenmemiş, bu konuda erkeğin sahip olduğu maddî imkânlar ve örf esas alınmıştır. (el-Bakara, 2/236; Muvatta’, Talâk, 46) Ancak fakihler, ilgili naslardan ve uygulamalardan yola çıkarak, müt‘anın mehr-i mislin yarısını geçmemesi gerektiğini belirtmişlerdir. (İbn Mâze, el-Muhît, 3/112) Bu sebeple mahkemenin mehr-i mislin yarısını aşan veya fâhiş kabul edilebilecek bir tazminatı belirlemesi hâlinde kadının mezkûr miktardan fazlasını alması haksız kazanç sayılacağından fazla miktarı tekrar eski eşine iade etmesi gerekir.</w:t>
      </w:r>
    </w:p>
    <w:p>
      <w:pPr>
        <w:keepNext w:val="false"/>
        <w:spacing w:after="180" w:before="0" w:line="365"/>
        <w:jc w:val="left"/>
      </w:pPr>
      <w:r>
        <w:rPr>
          <w:rFonts w:ascii="Lato" w:cs="Lato" w:eastAsia="Lato" w:hAnsi="Lato"/>
          <w:b w:val="false"/>
          <w:bCs w:val="false"/>
          <w:color w:val="293B49"/>
          <w:sz w:val="22"/>
          <w:szCs w:val="22"/>
        </w:rPr>
        <w:t xml:space="preserve">Ancak taraflar kendi aralarında anlaşarak, muayyen bir miktar belirlemişlerse, bu durumda müt‘anın mehr-i mislin yarısından fazla olmasında bir sakınca olmadığı da söylenmiştir. (İbn Âbidîn, Reddü’l-muhtâr, 3/110, 111; Remlî, Nihâyetü’l-muhtâc, 6/365)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AF9557C-826F-BD73-E2F6-8D3C8DC5F967}"/>
  </w:font>
  <w:font w:name="Lato">
    <w:family w:val="auto"/>
    <w:pitch w:val="variable"/>
    <w:sig w:usb0="E0002AFF" w:usb1="C000247B" w:usb2="00000009" w:usb3="00000000" w:csb0="000001FF" w:csb1="00000000"/>
    <w:embedRegular r:id="rId2" w:fontKey="{F570A716-7812-1D26-5F61-0C32FAD976C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Boşanan Kadının Malî Hakları Nelerdir?</dc:title>
  <dc:creator>Onlinevaaz</dc:creator>
  <dc:description>Onlinevaaz yazı arşivi</dc:description>
  <cp:lastModifiedBy>Un-named</cp:lastModifiedBy>
  <cp:revision>1</cp:revision>
  <dcterms:created xsi:type="dcterms:W3CDTF">2026-10-03T02:58:13.528Z</dcterms:created>
  <dcterms:modified xsi:type="dcterms:W3CDTF">2026-10-03T02:58:13.528Z</dcterms:modified>
</cp:coreProperties>
</file>

<file path=docProps/custom.xml><?xml version="1.0" encoding="utf-8"?>
<Properties xmlns="http://schemas.openxmlformats.org/officeDocument/2006/custom-properties" xmlns:vt="http://schemas.openxmlformats.org/officeDocument/2006/docPropsVTypes"/>
</file>